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257 x 215 x 330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4007841059880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0,7 W</w:t>
      </w:r>
      <w:br/>
      <w:r>
        <w:rPr/>
        <w:t xml:space="preserve">• Hauteur de montage max.: 6,00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(52 m²)</w:t>
      </w:r>
      <w:br/>
      <w:r>
        <w:rPr/>
        <w:t xml:space="preserve">• Portée tangentielle: r = 12 m (302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1000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Mise en réseau possible: Non</w:t>
      </w:r>
      <w:br/>
      <w:r>
        <w:rPr/>
        <w:t xml:space="preserve">• Fonction balisage en pourcentage: 0 – 50 %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50 %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059880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115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2026-03-24T01:00:37+01:00</dcterms:created>
  <dcterms:modified xsi:type="dcterms:W3CDTF">2026-03-24T01:00:37+01:00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